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9FC6" w14:textId="39FB84C4" w:rsidR="00F13493" w:rsidRPr="0093375C" w:rsidRDefault="00F13493" w:rsidP="00F13493">
      <w:pPr>
        <w:rPr>
          <w:b/>
          <w:sz w:val="28"/>
          <w:szCs w:val="28"/>
          <w:lang w:val="nl-NL"/>
        </w:rPr>
      </w:pPr>
      <w:r w:rsidRPr="007B189D">
        <w:rPr>
          <w:noProof/>
        </w:rPr>
        <w:drawing>
          <wp:anchor distT="0" distB="0" distL="114300" distR="114300" simplePos="0" relativeHeight="251659264" behindDoc="0" locked="0" layoutInCell="1" allowOverlap="1" wp14:anchorId="210557C3" wp14:editId="650491A7">
            <wp:simplePos x="0" y="0"/>
            <wp:positionH relativeFrom="column">
              <wp:posOffset>5255655</wp:posOffset>
            </wp:positionH>
            <wp:positionV relativeFrom="paragraph">
              <wp:posOffset>-790096</wp:posOffset>
            </wp:positionV>
            <wp:extent cx="1169670" cy="807238"/>
            <wp:effectExtent l="0" t="0" r="0" b="5715"/>
            <wp:wrapNone/>
            <wp:docPr id="1392845494" name="Afbeelding 1392845494"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Graphics, logo&#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9670" cy="8072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75C">
        <w:rPr>
          <w:b/>
          <w:sz w:val="28"/>
          <w:szCs w:val="28"/>
          <w:lang w:val="nl-NL"/>
        </w:rPr>
        <w:t>Model functieprofiel Algemeen Technicus (vrijwilliger)</w:t>
      </w:r>
    </w:p>
    <w:p w14:paraId="0BC064DF" w14:textId="77777777" w:rsidR="00F13493" w:rsidRPr="0093375C" w:rsidRDefault="00F13493" w:rsidP="00F13493">
      <w:pPr>
        <w:rPr>
          <w:b/>
          <w:lang w:val="nl-NL"/>
        </w:rPr>
      </w:pPr>
    </w:p>
    <w:p w14:paraId="6EEA6EBD" w14:textId="77777777" w:rsidR="00F13493" w:rsidRPr="0093375C" w:rsidRDefault="00F13493" w:rsidP="00F13493">
      <w:pPr>
        <w:rPr>
          <w:b/>
          <w:lang w:val="nl-NL"/>
        </w:rPr>
      </w:pPr>
      <w:r w:rsidRPr="0093375C">
        <w:rPr>
          <w:b/>
          <w:lang w:val="nl-NL"/>
        </w:rPr>
        <w:t>Gebruik model functieprofiel</w:t>
      </w:r>
    </w:p>
    <w:p w14:paraId="67E316FA" w14:textId="77777777" w:rsidR="006B20C7" w:rsidRPr="00E31842" w:rsidRDefault="006B20C7" w:rsidP="006B20C7">
      <w:pPr>
        <w:rPr>
          <w:rFonts w:ascii="Arial" w:hAnsi="Arial" w:cs="Arial"/>
          <w:caps/>
          <w:lang w:val="nl-NL"/>
        </w:rPr>
      </w:pPr>
      <w:r w:rsidRPr="00E31842">
        <w:rPr>
          <w:lang w:val="nl-NL"/>
        </w:rPr>
        <w:t xml:space="preserve">Hoewel deze publicatie met zorg is samengesteld kan de NLPO geen aansprakelijkheid aanvaarden voor eventuele gevolgen van het gebruik van </w:t>
      </w:r>
      <w:r>
        <w:rPr>
          <w:lang w:val="nl-NL"/>
        </w:rPr>
        <w:t>het modelbestand</w:t>
      </w:r>
      <w:r w:rsidRPr="00E31842">
        <w:rPr>
          <w:lang w:val="nl-NL"/>
        </w:rPr>
        <w:t>. Omroepen die het model aanpassen, op welke wijze dan ook, dienen het voorblad en het logo van de NLPO te verwijderen. Graag verneemt de NLPO uw opmerkingen naar aanleiding van de modelovereenkomst, zodat deze, wanneer daartoe aanleiding bestaat, kan worden aangepast.</w:t>
      </w:r>
    </w:p>
    <w:p w14:paraId="54F10B7C" w14:textId="77777777" w:rsidR="00F13493" w:rsidRPr="0093375C" w:rsidRDefault="00F13493" w:rsidP="00F13493">
      <w:pPr>
        <w:rPr>
          <w:rFonts w:ascii="Arial" w:hAnsi="Arial" w:cs="Arial"/>
          <w:b/>
          <w:caps/>
          <w:lang w:val="nl-NL"/>
        </w:rPr>
      </w:pPr>
    </w:p>
    <w:tbl>
      <w:tblPr>
        <w:tblStyle w:val="Tabelraster"/>
        <w:tblW w:w="0" w:type="auto"/>
        <w:tblLook w:val="04A0" w:firstRow="1" w:lastRow="0" w:firstColumn="1" w:lastColumn="0" w:noHBand="0" w:noVBand="1"/>
      </w:tblPr>
      <w:tblGrid>
        <w:gridCol w:w="1834"/>
        <w:gridCol w:w="2075"/>
        <w:gridCol w:w="4947"/>
      </w:tblGrid>
      <w:tr w:rsidR="00F13493" w14:paraId="0AA13EBC" w14:textId="77777777" w:rsidTr="00D6205B">
        <w:tc>
          <w:tcPr>
            <w:tcW w:w="1838" w:type="dxa"/>
          </w:tcPr>
          <w:p w14:paraId="3E5275E7" w14:textId="77777777" w:rsidR="00F13493" w:rsidRPr="009B10CE" w:rsidRDefault="00F13493" w:rsidP="00D6205B">
            <w:pPr>
              <w:autoSpaceDE w:val="0"/>
              <w:autoSpaceDN w:val="0"/>
              <w:adjustRightInd w:val="0"/>
              <w:rPr>
                <w:rFonts w:cs="Frutiger-Light"/>
                <w:b/>
                <w:bCs/>
              </w:rPr>
            </w:pPr>
            <w:r w:rsidRPr="009B10CE">
              <w:rPr>
                <w:rFonts w:cs="Frutiger-Light"/>
                <w:b/>
                <w:bCs/>
              </w:rPr>
              <w:t>Versienummer</w:t>
            </w:r>
          </w:p>
        </w:tc>
        <w:tc>
          <w:tcPr>
            <w:tcW w:w="2126" w:type="dxa"/>
          </w:tcPr>
          <w:p w14:paraId="7C82014C" w14:textId="77777777" w:rsidR="00F13493" w:rsidRPr="009B10CE" w:rsidRDefault="00F13493" w:rsidP="00D6205B">
            <w:pPr>
              <w:autoSpaceDE w:val="0"/>
              <w:autoSpaceDN w:val="0"/>
              <w:adjustRightInd w:val="0"/>
              <w:rPr>
                <w:rFonts w:cs="Frutiger-Light"/>
                <w:b/>
                <w:bCs/>
              </w:rPr>
            </w:pPr>
            <w:r w:rsidRPr="009B10CE">
              <w:rPr>
                <w:rFonts w:cs="Frutiger-Light"/>
                <w:b/>
                <w:bCs/>
              </w:rPr>
              <w:t>Datum</w:t>
            </w:r>
          </w:p>
        </w:tc>
        <w:tc>
          <w:tcPr>
            <w:tcW w:w="5098" w:type="dxa"/>
          </w:tcPr>
          <w:p w14:paraId="2278AD68" w14:textId="77777777" w:rsidR="00F13493" w:rsidRPr="009B10CE" w:rsidRDefault="00F13493" w:rsidP="00D6205B">
            <w:pPr>
              <w:autoSpaceDE w:val="0"/>
              <w:autoSpaceDN w:val="0"/>
              <w:adjustRightInd w:val="0"/>
              <w:rPr>
                <w:rFonts w:cs="Frutiger-Light"/>
                <w:b/>
                <w:bCs/>
              </w:rPr>
            </w:pPr>
            <w:r w:rsidRPr="009B10CE">
              <w:rPr>
                <w:rFonts w:cs="Frutiger-Light"/>
                <w:b/>
                <w:bCs/>
              </w:rPr>
              <w:t>Wijzigingen</w:t>
            </w:r>
          </w:p>
        </w:tc>
      </w:tr>
      <w:tr w:rsidR="00F13493" w14:paraId="12A984CD" w14:textId="77777777" w:rsidTr="00D6205B">
        <w:tc>
          <w:tcPr>
            <w:tcW w:w="1838" w:type="dxa"/>
          </w:tcPr>
          <w:p w14:paraId="66F05E81" w14:textId="2AA96643" w:rsidR="00F13493" w:rsidRDefault="00F13493" w:rsidP="00D6205B">
            <w:pPr>
              <w:autoSpaceDE w:val="0"/>
              <w:autoSpaceDN w:val="0"/>
              <w:adjustRightInd w:val="0"/>
              <w:rPr>
                <w:rFonts w:cs="Frutiger-Light"/>
              </w:rPr>
            </w:pPr>
            <w:r>
              <w:rPr>
                <w:rFonts w:cs="Frutiger-Light"/>
              </w:rPr>
              <w:t>V202</w:t>
            </w:r>
            <w:r w:rsidR="00A979E2">
              <w:rPr>
                <w:rFonts w:cs="Frutiger-Light"/>
              </w:rPr>
              <w:t>4</w:t>
            </w:r>
            <w:r>
              <w:rPr>
                <w:rFonts w:cs="Frutiger-Light"/>
              </w:rPr>
              <w:t>.1</w:t>
            </w:r>
          </w:p>
        </w:tc>
        <w:tc>
          <w:tcPr>
            <w:tcW w:w="2126" w:type="dxa"/>
          </w:tcPr>
          <w:p w14:paraId="2E665B26" w14:textId="13E6E533" w:rsidR="00F13493" w:rsidRDefault="00A979E2" w:rsidP="00D6205B">
            <w:pPr>
              <w:autoSpaceDE w:val="0"/>
              <w:autoSpaceDN w:val="0"/>
              <w:adjustRightInd w:val="0"/>
              <w:rPr>
                <w:rFonts w:cs="Frutiger-Light"/>
              </w:rPr>
            </w:pPr>
            <w:r>
              <w:rPr>
                <w:rFonts w:cs="Frutiger-Light"/>
              </w:rPr>
              <w:t>24-05-2024</w:t>
            </w:r>
          </w:p>
        </w:tc>
        <w:tc>
          <w:tcPr>
            <w:tcW w:w="5098" w:type="dxa"/>
          </w:tcPr>
          <w:p w14:paraId="27C383F1" w14:textId="697CB5CA" w:rsidR="00F13493" w:rsidRDefault="00A979E2" w:rsidP="00D6205B">
            <w:pPr>
              <w:autoSpaceDE w:val="0"/>
              <w:autoSpaceDN w:val="0"/>
              <w:adjustRightInd w:val="0"/>
              <w:rPr>
                <w:rFonts w:cs="Frutiger-Light"/>
              </w:rPr>
            </w:pPr>
            <w:r>
              <w:rPr>
                <w:rFonts w:cs="Frutiger-Light"/>
              </w:rPr>
              <w:t>Eerste publicatie</w:t>
            </w:r>
          </w:p>
        </w:tc>
      </w:tr>
      <w:tr w:rsidR="00F13493" w14:paraId="23201B1C" w14:textId="77777777" w:rsidTr="00D6205B">
        <w:tc>
          <w:tcPr>
            <w:tcW w:w="1838" w:type="dxa"/>
          </w:tcPr>
          <w:p w14:paraId="0C58748F" w14:textId="77777777" w:rsidR="00F13493" w:rsidRDefault="00F13493" w:rsidP="00D6205B">
            <w:pPr>
              <w:autoSpaceDE w:val="0"/>
              <w:autoSpaceDN w:val="0"/>
              <w:adjustRightInd w:val="0"/>
              <w:rPr>
                <w:rFonts w:cs="Frutiger-Light"/>
              </w:rPr>
            </w:pPr>
          </w:p>
        </w:tc>
        <w:tc>
          <w:tcPr>
            <w:tcW w:w="2126" w:type="dxa"/>
          </w:tcPr>
          <w:p w14:paraId="387C3B63" w14:textId="77777777" w:rsidR="00F13493" w:rsidRDefault="00F13493" w:rsidP="00D6205B">
            <w:pPr>
              <w:autoSpaceDE w:val="0"/>
              <w:autoSpaceDN w:val="0"/>
              <w:adjustRightInd w:val="0"/>
              <w:rPr>
                <w:rFonts w:cs="Frutiger-Light"/>
              </w:rPr>
            </w:pPr>
          </w:p>
        </w:tc>
        <w:tc>
          <w:tcPr>
            <w:tcW w:w="5098" w:type="dxa"/>
          </w:tcPr>
          <w:p w14:paraId="10FF099A" w14:textId="77777777" w:rsidR="00F13493" w:rsidRDefault="00F13493" w:rsidP="00D6205B">
            <w:pPr>
              <w:autoSpaceDE w:val="0"/>
              <w:autoSpaceDN w:val="0"/>
              <w:adjustRightInd w:val="0"/>
              <w:rPr>
                <w:rFonts w:cs="Frutiger-Light"/>
              </w:rPr>
            </w:pPr>
          </w:p>
        </w:tc>
      </w:tr>
      <w:tr w:rsidR="00F13493" w14:paraId="2922CB32" w14:textId="77777777" w:rsidTr="00D6205B">
        <w:tc>
          <w:tcPr>
            <w:tcW w:w="1838" w:type="dxa"/>
          </w:tcPr>
          <w:p w14:paraId="21BCC38F" w14:textId="77777777" w:rsidR="00F13493" w:rsidRDefault="00F13493" w:rsidP="00D6205B">
            <w:pPr>
              <w:autoSpaceDE w:val="0"/>
              <w:autoSpaceDN w:val="0"/>
              <w:adjustRightInd w:val="0"/>
              <w:rPr>
                <w:rFonts w:cs="Frutiger-Light"/>
              </w:rPr>
            </w:pPr>
          </w:p>
        </w:tc>
        <w:tc>
          <w:tcPr>
            <w:tcW w:w="2126" w:type="dxa"/>
          </w:tcPr>
          <w:p w14:paraId="61A71C3D" w14:textId="77777777" w:rsidR="00F13493" w:rsidRDefault="00F13493" w:rsidP="00D6205B">
            <w:pPr>
              <w:autoSpaceDE w:val="0"/>
              <w:autoSpaceDN w:val="0"/>
              <w:adjustRightInd w:val="0"/>
              <w:rPr>
                <w:rFonts w:cs="Frutiger-Light"/>
              </w:rPr>
            </w:pPr>
          </w:p>
        </w:tc>
        <w:tc>
          <w:tcPr>
            <w:tcW w:w="5098" w:type="dxa"/>
          </w:tcPr>
          <w:p w14:paraId="62F34173" w14:textId="77777777" w:rsidR="00F13493" w:rsidRDefault="00F13493" w:rsidP="00D6205B">
            <w:pPr>
              <w:autoSpaceDE w:val="0"/>
              <w:autoSpaceDN w:val="0"/>
              <w:adjustRightInd w:val="0"/>
              <w:rPr>
                <w:rFonts w:cs="Frutiger-Light"/>
              </w:rPr>
            </w:pPr>
          </w:p>
        </w:tc>
      </w:tr>
      <w:tr w:rsidR="00F13493" w14:paraId="1C59A4B9" w14:textId="77777777" w:rsidTr="00D6205B">
        <w:tc>
          <w:tcPr>
            <w:tcW w:w="1838" w:type="dxa"/>
          </w:tcPr>
          <w:p w14:paraId="36D9FEA7" w14:textId="77777777" w:rsidR="00F13493" w:rsidRDefault="00F13493" w:rsidP="00D6205B">
            <w:pPr>
              <w:autoSpaceDE w:val="0"/>
              <w:autoSpaceDN w:val="0"/>
              <w:adjustRightInd w:val="0"/>
              <w:rPr>
                <w:rFonts w:cs="Frutiger-Light"/>
              </w:rPr>
            </w:pPr>
          </w:p>
        </w:tc>
        <w:tc>
          <w:tcPr>
            <w:tcW w:w="2126" w:type="dxa"/>
          </w:tcPr>
          <w:p w14:paraId="640B1D10" w14:textId="77777777" w:rsidR="00F13493" w:rsidRDefault="00F13493" w:rsidP="00D6205B">
            <w:pPr>
              <w:autoSpaceDE w:val="0"/>
              <w:autoSpaceDN w:val="0"/>
              <w:adjustRightInd w:val="0"/>
              <w:rPr>
                <w:rFonts w:cs="Frutiger-Light"/>
              </w:rPr>
            </w:pPr>
          </w:p>
        </w:tc>
        <w:tc>
          <w:tcPr>
            <w:tcW w:w="5098" w:type="dxa"/>
          </w:tcPr>
          <w:p w14:paraId="1966EB32" w14:textId="77777777" w:rsidR="00F13493" w:rsidRDefault="00F13493" w:rsidP="00D6205B">
            <w:pPr>
              <w:autoSpaceDE w:val="0"/>
              <w:autoSpaceDN w:val="0"/>
              <w:adjustRightInd w:val="0"/>
              <w:rPr>
                <w:rFonts w:cs="Frutiger-Light"/>
              </w:rPr>
            </w:pPr>
          </w:p>
        </w:tc>
      </w:tr>
      <w:tr w:rsidR="00F13493" w14:paraId="0586D77C" w14:textId="77777777" w:rsidTr="00D6205B">
        <w:tc>
          <w:tcPr>
            <w:tcW w:w="1838" w:type="dxa"/>
          </w:tcPr>
          <w:p w14:paraId="36111297" w14:textId="77777777" w:rsidR="00F13493" w:rsidRDefault="00F13493" w:rsidP="00D6205B">
            <w:pPr>
              <w:autoSpaceDE w:val="0"/>
              <w:autoSpaceDN w:val="0"/>
              <w:adjustRightInd w:val="0"/>
              <w:rPr>
                <w:rFonts w:cs="Frutiger-Light"/>
              </w:rPr>
            </w:pPr>
          </w:p>
        </w:tc>
        <w:tc>
          <w:tcPr>
            <w:tcW w:w="2126" w:type="dxa"/>
          </w:tcPr>
          <w:p w14:paraId="48030C56" w14:textId="77777777" w:rsidR="00F13493" w:rsidRDefault="00F13493" w:rsidP="00D6205B">
            <w:pPr>
              <w:autoSpaceDE w:val="0"/>
              <w:autoSpaceDN w:val="0"/>
              <w:adjustRightInd w:val="0"/>
              <w:rPr>
                <w:rFonts w:cs="Frutiger-Light"/>
              </w:rPr>
            </w:pPr>
          </w:p>
        </w:tc>
        <w:tc>
          <w:tcPr>
            <w:tcW w:w="5098" w:type="dxa"/>
          </w:tcPr>
          <w:p w14:paraId="37FD2525" w14:textId="77777777" w:rsidR="00F13493" w:rsidRDefault="00F13493" w:rsidP="00D6205B">
            <w:pPr>
              <w:autoSpaceDE w:val="0"/>
              <w:autoSpaceDN w:val="0"/>
              <w:adjustRightInd w:val="0"/>
              <w:rPr>
                <w:rFonts w:cs="Frutiger-Light"/>
              </w:rPr>
            </w:pPr>
          </w:p>
        </w:tc>
      </w:tr>
    </w:tbl>
    <w:p w14:paraId="4A38448D" w14:textId="77777777" w:rsidR="00F13493" w:rsidRDefault="00F13493">
      <w:pPr>
        <w:rPr>
          <w:b/>
          <w:sz w:val="28"/>
          <w:lang w:val="nl-NL"/>
        </w:rPr>
      </w:pPr>
      <w:r>
        <w:rPr>
          <w:b/>
          <w:sz w:val="28"/>
          <w:lang w:val="nl-NL"/>
        </w:rPr>
        <w:br w:type="page"/>
      </w:r>
    </w:p>
    <w:p w14:paraId="02EEDE02" w14:textId="64D16D86" w:rsidR="00854454" w:rsidRPr="001F4872" w:rsidRDefault="001F4872">
      <w:pPr>
        <w:jc w:val="center"/>
        <w:rPr>
          <w:lang w:val="nl-NL"/>
        </w:rPr>
      </w:pPr>
      <w:r w:rsidRPr="001F4872">
        <w:rPr>
          <w:b/>
          <w:sz w:val="28"/>
          <w:lang w:val="nl-NL"/>
        </w:rPr>
        <w:lastRenderedPageBreak/>
        <w:t xml:space="preserve">Model Functieprofiel </w:t>
      </w:r>
      <w:r w:rsidR="00F13493">
        <w:rPr>
          <w:b/>
          <w:sz w:val="28"/>
          <w:lang w:val="nl-NL"/>
        </w:rPr>
        <w:t xml:space="preserve">Algemeen </w:t>
      </w:r>
      <w:r w:rsidRPr="001F4872">
        <w:rPr>
          <w:b/>
          <w:sz w:val="28"/>
          <w:lang w:val="nl-NL"/>
        </w:rPr>
        <w:t>Technicus (vrijwilliger)</w:t>
      </w:r>
    </w:p>
    <w:p w14:paraId="20C7AF32" w14:textId="77777777" w:rsidR="00854454" w:rsidRPr="0093375C" w:rsidRDefault="001F4872">
      <w:pPr>
        <w:rPr>
          <w:lang w:val="nl-NL"/>
        </w:rPr>
      </w:pPr>
      <w:r w:rsidRPr="0093375C">
        <w:rPr>
          <w:b/>
          <w:sz w:val="24"/>
          <w:lang w:val="nl-NL"/>
        </w:rPr>
        <w:t>Omschrijving van de functie:</w:t>
      </w:r>
    </w:p>
    <w:p w14:paraId="2798DB0C" w14:textId="1492FD11" w:rsidR="00854454" w:rsidRPr="0093375C" w:rsidRDefault="001F4872">
      <w:pPr>
        <w:rPr>
          <w:lang w:val="nl-NL"/>
        </w:rPr>
      </w:pPr>
      <w:r w:rsidRPr="0093375C">
        <w:rPr>
          <w:lang w:val="nl-NL"/>
        </w:rPr>
        <w:t xml:space="preserve">De </w:t>
      </w:r>
      <w:r w:rsidR="0093375C">
        <w:rPr>
          <w:lang w:val="nl-NL"/>
        </w:rPr>
        <w:t>a</w:t>
      </w:r>
      <w:r w:rsidRPr="0093375C">
        <w:rPr>
          <w:lang w:val="nl-NL"/>
        </w:rPr>
        <w:t xml:space="preserve">lgemeen </w:t>
      </w:r>
      <w:r w:rsidR="0093375C">
        <w:rPr>
          <w:lang w:val="nl-NL"/>
        </w:rPr>
        <w:t>t</w:t>
      </w:r>
      <w:r w:rsidRPr="0093375C">
        <w:rPr>
          <w:lang w:val="nl-NL"/>
        </w:rPr>
        <w:t>echnicus bij de lokale omroep is een veelzijdige en essentiële rol die zich richt op zowel broadcastapparatuur als IT-beheer. Deze functie vereist technische kennis op het gebied van netwerk- en serverbeheer, computeronderhoud en de bediening van broadcastapparatuur en -software. De technicus zorgt voor een soepele technische werking van de omroepfaciliteiten.</w:t>
      </w:r>
    </w:p>
    <w:p w14:paraId="2E182996" w14:textId="77777777" w:rsidR="00854454" w:rsidRDefault="001F4872">
      <w:r>
        <w:rPr>
          <w:b/>
          <w:sz w:val="24"/>
        </w:rPr>
        <w:t>Taken:</w:t>
      </w:r>
    </w:p>
    <w:p w14:paraId="70002B3E" w14:textId="77777777" w:rsidR="00854454" w:rsidRPr="0093375C" w:rsidRDefault="001F4872">
      <w:pPr>
        <w:pStyle w:val="Lijstopsomteken"/>
        <w:rPr>
          <w:lang w:val="nl-NL"/>
        </w:rPr>
      </w:pPr>
      <w:r w:rsidRPr="0093375C">
        <w:rPr>
          <w:lang w:val="nl-NL"/>
        </w:rPr>
        <w:t>Onderhouden en beheren van netwerk- en serverinfrastructuur.</w:t>
      </w:r>
    </w:p>
    <w:p w14:paraId="5187DBDD" w14:textId="77777777" w:rsidR="00854454" w:rsidRPr="0093375C" w:rsidRDefault="001F4872">
      <w:pPr>
        <w:pStyle w:val="Lijstopsomteken"/>
        <w:rPr>
          <w:lang w:val="nl-NL"/>
        </w:rPr>
      </w:pPr>
      <w:r w:rsidRPr="0093375C">
        <w:rPr>
          <w:lang w:val="nl-NL"/>
        </w:rPr>
        <w:t>Installeren, configureren en onderhouden van computerapparatuur en -software.</w:t>
      </w:r>
    </w:p>
    <w:p w14:paraId="640A8E2A" w14:textId="77777777" w:rsidR="00854454" w:rsidRPr="0093375C" w:rsidRDefault="001F4872">
      <w:pPr>
        <w:pStyle w:val="Lijstopsomteken"/>
        <w:rPr>
          <w:lang w:val="nl-NL"/>
        </w:rPr>
      </w:pPr>
      <w:r w:rsidRPr="0093375C">
        <w:rPr>
          <w:lang w:val="nl-NL"/>
        </w:rPr>
        <w:t>Bieden van technische ondersteuning voor broadcastapparatuur en -software.</w:t>
      </w:r>
    </w:p>
    <w:p w14:paraId="03FCDC25" w14:textId="77777777" w:rsidR="00854454" w:rsidRPr="0093375C" w:rsidRDefault="001F4872">
      <w:pPr>
        <w:pStyle w:val="Lijstopsomteken"/>
        <w:rPr>
          <w:lang w:val="nl-NL"/>
        </w:rPr>
      </w:pPr>
      <w:r w:rsidRPr="0093375C">
        <w:rPr>
          <w:lang w:val="nl-NL"/>
        </w:rPr>
        <w:t>Oplossen van technische problemen en storingen.</w:t>
      </w:r>
    </w:p>
    <w:p w14:paraId="169626B9" w14:textId="3A1DDC94" w:rsidR="00854454" w:rsidRDefault="001F4872">
      <w:pPr>
        <w:pStyle w:val="Lijstopsomteken"/>
        <w:rPr>
          <w:lang w:val="nl-NL"/>
        </w:rPr>
      </w:pPr>
      <w:r w:rsidRPr="0093375C">
        <w:rPr>
          <w:lang w:val="nl-NL"/>
        </w:rPr>
        <w:t>Samenwerken met andere technische</w:t>
      </w:r>
      <w:r w:rsidR="00837A56">
        <w:rPr>
          <w:lang w:val="nl-NL"/>
        </w:rPr>
        <w:t xml:space="preserve"> medewerkers</w:t>
      </w:r>
      <w:r w:rsidRPr="0093375C">
        <w:rPr>
          <w:lang w:val="nl-NL"/>
        </w:rPr>
        <w:t xml:space="preserve"> en productieteams.</w:t>
      </w:r>
    </w:p>
    <w:p w14:paraId="243C7398" w14:textId="40908A69" w:rsidR="005D6560" w:rsidRPr="0093375C" w:rsidRDefault="005D6560">
      <w:pPr>
        <w:pStyle w:val="Lijstopsomteken"/>
        <w:rPr>
          <w:lang w:val="nl-NL"/>
        </w:rPr>
      </w:pPr>
      <w:r>
        <w:rPr>
          <w:lang w:val="nl-NL"/>
        </w:rPr>
        <w:t>Opstellen en onderhouden vervangingsschema apparatuur.</w:t>
      </w:r>
    </w:p>
    <w:p w14:paraId="1958524A" w14:textId="77777777" w:rsidR="00854454" w:rsidRDefault="001F4872">
      <w:r>
        <w:rPr>
          <w:b/>
          <w:sz w:val="24"/>
        </w:rPr>
        <w:t>Verantwoordelijkheden en bevoegdheden:</w:t>
      </w:r>
    </w:p>
    <w:p w14:paraId="6C599482" w14:textId="77777777" w:rsidR="00854454" w:rsidRPr="0093375C" w:rsidRDefault="001F4872">
      <w:pPr>
        <w:pStyle w:val="Lijstopsomteken"/>
        <w:rPr>
          <w:lang w:val="nl-NL"/>
        </w:rPr>
      </w:pPr>
      <w:r w:rsidRPr="0093375C">
        <w:rPr>
          <w:lang w:val="nl-NL"/>
        </w:rPr>
        <w:t>Garanderen van de betrouwbaarheid en veiligheid van IT- en broadcastsystemen.</w:t>
      </w:r>
    </w:p>
    <w:p w14:paraId="43A31ED6" w14:textId="77777777" w:rsidR="00854454" w:rsidRPr="0093375C" w:rsidRDefault="001F4872">
      <w:pPr>
        <w:pStyle w:val="Lijstopsomteken"/>
        <w:rPr>
          <w:lang w:val="nl-NL"/>
        </w:rPr>
      </w:pPr>
      <w:r w:rsidRPr="0093375C">
        <w:rPr>
          <w:lang w:val="nl-NL"/>
        </w:rPr>
        <w:t>Bijhouden van technologische ontwikkelingen en adviseren over upgrades.</w:t>
      </w:r>
    </w:p>
    <w:p w14:paraId="63E2C8E3" w14:textId="77777777" w:rsidR="00854454" w:rsidRPr="0093375C" w:rsidRDefault="001F4872">
      <w:pPr>
        <w:pStyle w:val="Lijstopsomteken"/>
        <w:rPr>
          <w:lang w:val="nl-NL"/>
        </w:rPr>
      </w:pPr>
      <w:r w:rsidRPr="0093375C">
        <w:rPr>
          <w:lang w:val="nl-NL"/>
        </w:rPr>
        <w:t>Zorgen voor naleving van de technische normen en protocollen.</w:t>
      </w:r>
    </w:p>
    <w:p w14:paraId="0E41A1CE" w14:textId="77777777" w:rsidR="00854454" w:rsidRDefault="001F4872">
      <w:r>
        <w:rPr>
          <w:b/>
          <w:sz w:val="24"/>
        </w:rPr>
        <w:t>Benodigde competenties:</w:t>
      </w:r>
    </w:p>
    <w:p w14:paraId="06E9208D" w14:textId="77777777" w:rsidR="00854454" w:rsidRPr="0093375C" w:rsidRDefault="001F4872">
      <w:pPr>
        <w:pStyle w:val="Lijstopsomteken"/>
        <w:rPr>
          <w:lang w:val="nl-NL"/>
        </w:rPr>
      </w:pPr>
      <w:r w:rsidRPr="0093375C">
        <w:rPr>
          <w:lang w:val="nl-NL"/>
        </w:rPr>
        <w:t>Kennis van netwerkbeheer, serveronderhoud en IT-beveiliging.</w:t>
      </w:r>
    </w:p>
    <w:p w14:paraId="389263FD" w14:textId="77777777" w:rsidR="00854454" w:rsidRPr="0093375C" w:rsidRDefault="001F4872">
      <w:pPr>
        <w:pStyle w:val="Lijstopsomteken"/>
        <w:rPr>
          <w:lang w:val="nl-NL"/>
        </w:rPr>
      </w:pPr>
      <w:r w:rsidRPr="0093375C">
        <w:rPr>
          <w:lang w:val="nl-NL"/>
        </w:rPr>
        <w:t>Ervaring met broadcasttechnologie en -software.</w:t>
      </w:r>
    </w:p>
    <w:p w14:paraId="6312C589" w14:textId="77777777" w:rsidR="00854454" w:rsidRPr="0093375C" w:rsidRDefault="001F4872">
      <w:pPr>
        <w:pStyle w:val="Lijstopsomteken"/>
        <w:rPr>
          <w:lang w:val="nl-NL"/>
        </w:rPr>
      </w:pPr>
      <w:r w:rsidRPr="0093375C">
        <w:rPr>
          <w:lang w:val="nl-NL"/>
        </w:rPr>
        <w:t>Analytisch vermogen en probleemoplossende vaardigheden.</w:t>
      </w:r>
    </w:p>
    <w:p w14:paraId="623116CC" w14:textId="77777777" w:rsidR="00854454" w:rsidRPr="0093375C" w:rsidRDefault="001F4872">
      <w:pPr>
        <w:pStyle w:val="Lijstopsomteken"/>
        <w:rPr>
          <w:lang w:val="nl-NL"/>
        </w:rPr>
      </w:pPr>
      <w:r w:rsidRPr="0093375C">
        <w:rPr>
          <w:lang w:val="nl-NL"/>
        </w:rPr>
        <w:t>Goede communicatieve vaardigheden en teamgeest.</w:t>
      </w:r>
    </w:p>
    <w:p w14:paraId="10447DE2" w14:textId="77777777" w:rsidR="00854454" w:rsidRPr="0093375C" w:rsidRDefault="001F4872">
      <w:pPr>
        <w:pStyle w:val="Lijstopsomteken"/>
        <w:rPr>
          <w:lang w:val="nl-NL"/>
        </w:rPr>
      </w:pPr>
      <w:r w:rsidRPr="0093375C">
        <w:rPr>
          <w:lang w:val="nl-NL"/>
        </w:rPr>
        <w:t>Flexibiliteit en aanpassingsvermogen in een dynamische omgeving.</w:t>
      </w:r>
    </w:p>
    <w:p w14:paraId="2E9DFE8D" w14:textId="77777777" w:rsidR="00854454" w:rsidRPr="0093375C" w:rsidRDefault="001F4872">
      <w:pPr>
        <w:rPr>
          <w:lang w:val="nl-NL"/>
        </w:rPr>
      </w:pPr>
      <w:r w:rsidRPr="0093375C">
        <w:rPr>
          <w:b/>
          <w:sz w:val="24"/>
          <w:lang w:val="nl-NL"/>
        </w:rPr>
        <w:t>Minimale werkervaring en opleidingsniveau:</w:t>
      </w:r>
    </w:p>
    <w:p w14:paraId="7E3B2A94" w14:textId="77777777" w:rsidR="00854454" w:rsidRPr="0093375C" w:rsidRDefault="001F4872">
      <w:pPr>
        <w:rPr>
          <w:lang w:val="nl-NL"/>
        </w:rPr>
      </w:pPr>
      <w:r w:rsidRPr="0093375C">
        <w:rPr>
          <w:lang w:val="nl-NL"/>
        </w:rPr>
        <w:t>Ervaring met IT- en/of broadcasttechniek is een pre, maar niet vereist. Geen specifiek opleidingsniveau vereist.</w:t>
      </w:r>
    </w:p>
    <w:p w14:paraId="3EDD7B48" w14:textId="77777777" w:rsidR="00854454" w:rsidRPr="0093375C" w:rsidRDefault="001F4872">
      <w:pPr>
        <w:rPr>
          <w:lang w:val="nl-NL"/>
        </w:rPr>
      </w:pPr>
      <w:r w:rsidRPr="0093375C">
        <w:rPr>
          <w:b/>
          <w:sz w:val="24"/>
          <w:lang w:val="nl-NL"/>
        </w:rPr>
        <w:t>Arbeidsvoorwaarden:</w:t>
      </w:r>
    </w:p>
    <w:p w14:paraId="2F8593A0" w14:textId="77777777" w:rsidR="003261A2" w:rsidRPr="002D1256" w:rsidRDefault="003261A2" w:rsidP="003261A2">
      <w:pPr>
        <w:rPr>
          <w:lang w:val="nl-NL"/>
        </w:rPr>
      </w:pPr>
      <w:r>
        <w:rPr>
          <w:lang w:val="nl-NL"/>
        </w:rPr>
        <w:t>Het betreft een vrijwilligersfunctie. Uren in overleg.</w:t>
      </w:r>
    </w:p>
    <w:p w14:paraId="51CF5B3D" w14:textId="6BFEF839" w:rsidR="00854454" w:rsidRPr="0093375C" w:rsidRDefault="00854454" w:rsidP="003261A2">
      <w:pPr>
        <w:rPr>
          <w:lang w:val="nl-NL"/>
        </w:rPr>
      </w:pPr>
    </w:p>
    <w:sectPr w:rsidR="00854454" w:rsidRPr="009337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Light">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309436852">
    <w:abstractNumId w:val="8"/>
  </w:num>
  <w:num w:numId="2" w16cid:durableId="1381855504">
    <w:abstractNumId w:val="6"/>
  </w:num>
  <w:num w:numId="3" w16cid:durableId="345794959">
    <w:abstractNumId w:val="5"/>
  </w:num>
  <w:num w:numId="4" w16cid:durableId="1011180717">
    <w:abstractNumId w:val="4"/>
  </w:num>
  <w:num w:numId="5" w16cid:durableId="1548181544">
    <w:abstractNumId w:val="7"/>
  </w:num>
  <w:num w:numId="6" w16cid:durableId="789861759">
    <w:abstractNumId w:val="3"/>
  </w:num>
  <w:num w:numId="7" w16cid:durableId="564611872">
    <w:abstractNumId w:val="2"/>
  </w:num>
  <w:num w:numId="8" w16cid:durableId="194970811">
    <w:abstractNumId w:val="1"/>
  </w:num>
  <w:num w:numId="9" w16cid:durableId="9189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4872"/>
    <w:rsid w:val="0029639D"/>
    <w:rsid w:val="003261A2"/>
    <w:rsid w:val="00326F90"/>
    <w:rsid w:val="005D6560"/>
    <w:rsid w:val="006B20C7"/>
    <w:rsid w:val="00837A56"/>
    <w:rsid w:val="00854454"/>
    <w:rsid w:val="0093375C"/>
    <w:rsid w:val="00A979E2"/>
    <w:rsid w:val="00AA1D8D"/>
    <w:rsid w:val="00B47730"/>
    <w:rsid w:val="00CB0664"/>
    <w:rsid w:val="00CD4D67"/>
    <w:rsid w:val="00F134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195B600-BAD9-6443-8483-4DAF4709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E35B24A92C942B3DADD0983E013A7" ma:contentTypeVersion="19" ma:contentTypeDescription="Een nieuw document maken." ma:contentTypeScope="" ma:versionID="8cf3edff78774842d4a27a38c9c62161">
  <xsd:schema xmlns:xsd="http://www.w3.org/2001/XMLSchema" xmlns:xs="http://www.w3.org/2001/XMLSchema" xmlns:p="http://schemas.microsoft.com/office/2006/metadata/properties" xmlns:ns2="b8bef493-fa61-4bc1-8f23-3d6530fe4a93" xmlns:ns3="54caa56c-ac9b-4171-abc0-98105dc25dda" targetNamespace="http://schemas.microsoft.com/office/2006/metadata/properties" ma:root="true" ma:fieldsID="3004f0dd3cb003b53ff41e80c9c15a86" ns2:_="" ns3:_="">
    <xsd:import namespace="b8bef493-fa61-4bc1-8f23-3d6530fe4a93"/>
    <xsd:import namespace="54caa56c-ac9b-4171-abc0-98105dc25dda"/>
    <xsd:element name="properties">
      <xsd:complexType>
        <xsd:sequence>
          <xsd:element name="documentManagement">
            <xsd:complexType>
              <xsd:all>
                <xsd:element ref="ns2:Title0"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ef493-fa61-4bc1-8f23-3d6530fe4a93"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7e8dea3-6bb7-49c8-b7df-81016711b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aa56c-ac9b-4171-abc0-98105dc25dda"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e298c96d-8b71-4d3b-ab6b-0b2bb41d9402}" ma:internalName="TaxCatchAll" ma:showField="CatchAllData" ma:web="54caa56c-ac9b-4171-abc0-98105dc25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0 xmlns="b8bef493-fa61-4bc1-8f23-3d6530fe4a93" xsi:nil="true"/>
    <TaxCatchAll xmlns="54caa56c-ac9b-4171-abc0-98105dc25dda" xsi:nil="true"/>
    <lcf76f155ced4ddcb4097134ff3c332f xmlns="b8bef493-fa61-4bc1-8f23-3d6530fe4a93">
      <Terms xmlns="http://schemas.microsoft.com/office/infopath/2007/PartnerControls"/>
    </lcf76f155ced4ddcb4097134ff3c332f>
    <SharedWithUsers xmlns="54caa56c-ac9b-4171-abc0-98105dc25dda">
      <UserInfo>
        <DisplayName>Lars van der Manden | NLPO</DisplayName>
        <AccountId>2591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69502-93FA-4EBC-9862-132B9687B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ef493-fa61-4bc1-8f23-3d6530fe4a93"/>
    <ds:schemaRef ds:uri="54caa56c-ac9b-4171-abc0-98105dc25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5068D-BDD0-4521-8020-1D6C98DC44A7}">
  <ds:schemaRefs>
    <ds:schemaRef ds:uri="http://schemas.microsoft.com/sharepoint/v3/contenttype/forms"/>
  </ds:schemaRefs>
</ds:datastoreItem>
</file>

<file path=customXml/itemProps3.xml><?xml version="1.0" encoding="utf-8"?>
<ds:datastoreItem xmlns:ds="http://schemas.openxmlformats.org/officeDocument/2006/customXml" ds:itemID="{538EF457-21AC-4D34-800F-AEB8E6DD03F9}">
  <ds:schemaRefs>
    <ds:schemaRef ds:uri="http://schemas.microsoft.com/office/2006/metadata/properties"/>
    <ds:schemaRef ds:uri="http://schemas.microsoft.com/office/infopath/2007/PartnerControls"/>
    <ds:schemaRef ds:uri="b8bef493-fa61-4bc1-8f23-3d6530fe4a93"/>
    <ds:schemaRef ds:uri="54caa56c-ac9b-4171-abc0-98105dc25dda"/>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Lars van der Manden</cp:lastModifiedBy>
  <cp:revision>9</cp:revision>
  <dcterms:created xsi:type="dcterms:W3CDTF">2013-12-23T23:15:00Z</dcterms:created>
  <dcterms:modified xsi:type="dcterms:W3CDTF">2024-05-24T09:51:00Z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0x0101008E5E35B24A92C942B3DADD0983E013A7</vt:lpwstr>
  </property>
  <property fmtid="{D5CDD505-2E9C-101B-9397-08002B2CF9AE}" pid="3" name="MediaServiceImageTags">
    <vt:lpwstr/>
  </property>
</Properties>
</file>